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09C3" w14:textId="77777777" w:rsidR="002C73F4" w:rsidRDefault="002C73F4">
      <w:pPr>
        <w:pStyle w:val="BodyText"/>
        <w:rPr>
          <w:rFonts w:ascii="Times New Roman"/>
        </w:rPr>
      </w:pPr>
    </w:p>
    <w:p w14:paraId="56DD3091" w14:textId="77777777" w:rsidR="002C73F4" w:rsidRDefault="002C73F4">
      <w:pPr>
        <w:pStyle w:val="BodyText"/>
        <w:spacing w:before="3"/>
        <w:rPr>
          <w:rFonts w:ascii="Times New Roman"/>
        </w:rPr>
      </w:pPr>
    </w:p>
    <w:p w14:paraId="7E9D0EE4" w14:textId="23EA2FC3" w:rsidR="002C73F4" w:rsidRDefault="00232A51">
      <w:pPr>
        <w:pStyle w:val="Heading1"/>
        <w:spacing w:before="93"/>
        <w:ind w:left="2947" w:right="2931"/>
        <w:jc w:val="center"/>
      </w:pPr>
      <w:r>
        <w:t>Yellow</w:t>
      </w:r>
      <w:r w:rsidR="006C0F53">
        <w:rPr>
          <w:spacing w:val="-2"/>
        </w:rPr>
        <w:t xml:space="preserve"> </w:t>
      </w:r>
      <w:r w:rsidR="006C0F53">
        <w:t>Data</w:t>
      </w:r>
      <w:r w:rsidR="006C0F53">
        <w:rPr>
          <w:spacing w:val="-3"/>
        </w:rPr>
        <w:t xml:space="preserve"> </w:t>
      </w:r>
      <w:r w:rsidR="006C0F53">
        <w:t>Classification</w:t>
      </w:r>
      <w:r w:rsidR="006C0F53">
        <w:rPr>
          <w:spacing w:val="-1"/>
        </w:rPr>
        <w:t xml:space="preserve"> </w:t>
      </w:r>
      <w:r w:rsidR="006C0F53">
        <w:t>policy</w:t>
      </w:r>
    </w:p>
    <w:p w14:paraId="6A512BAC" w14:textId="77777777" w:rsidR="002C73F4" w:rsidRDefault="006C0F53">
      <w:pPr>
        <w:spacing w:before="178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Purpose</w:t>
      </w:r>
    </w:p>
    <w:p w14:paraId="47056696" w14:textId="17EBA3FE" w:rsidR="002C73F4" w:rsidRDefault="006C0F53">
      <w:pPr>
        <w:pStyle w:val="BodyText"/>
        <w:spacing w:before="180" w:line="259" w:lineRule="auto"/>
        <w:ind w:left="100" w:right="37"/>
      </w:pPr>
      <w:r>
        <w:t xml:space="preserve">In order to preserve the appropriate confidentiality, integrity and availability of </w:t>
      </w:r>
      <w:r w:rsidR="00232A51">
        <w:t>Yellow</w:t>
      </w:r>
      <w:r>
        <w:t xml:space="preserve"> and its client’s</w:t>
      </w:r>
      <w:r>
        <w:rPr>
          <w:spacing w:val="1"/>
        </w:rPr>
        <w:t xml:space="preserve"> </w:t>
      </w:r>
      <w:r>
        <w:t>information assets, the company must make sure they are protected against unauthorized access,</w:t>
      </w:r>
      <w:r>
        <w:rPr>
          <w:spacing w:val="1"/>
        </w:rPr>
        <w:t xml:space="preserve"> </w:t>
      </w:r>
      <w:r>
        <w:t>disclosure or modification. This is not just critical for assets covered by the Data Protection Act, but</w:t>
      </w:r>
      <w:r>
        <w:rPr>
          <w:spacing w:val="1"/>
        </w:rPr>
        <w:t xml:space="preserve"> </w:t>
      </w:r>
      <w:r>
        <w:t>also for all business conducted across the company. Different types of information require different</w:t>
      </w:r>
      <w:r>
        <w:rPr>
          <w:spacing w:val="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sensitivity.</w:t>
      </w:r>
      <w:r>
        <w:rPr>
          <w:spacing w:val="-3"/>
        </w:rPr>
        <w:t xml:space="preserve"> </w:t>
      </w:r>
      <w:r w:rsidR="00232A51">
        <w:t xml:space="preserve">Yellow’s </w:t>
      </w:r>
      <w:r>
        <w:t>information</w:t>
      </w:r>
      <w:r>
        <w:rPr>
          <w:spacing w:val="-3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designed to provide information owners with guidance on how to classify information assets properly</w:t>
      </w:r>
      <w:r>
        <w:rPr>
          <w:spacing w:val="1"/>
        </w:rPr>
        <w:t xml:space="preserve"> </w:t>
      </w:r>
      <w:r>
        <w:t xml:space="preserve">and then use them accordingly. This guidance — developed in accordance with the </w:t>
      </w:r>
      <w:r w:rsidR="00975FB7">
        <w:t xml:space="preserve">Yellow’s  </w:t>
      </w:r>
      <w:r>
        <w:t>Information Security and Data Protection Policies — includes classification criteria and categories, as</w:t>
      </w:r>
      <w:r>
        <w:rPr>
          <w:spacing w:val="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rules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delegation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tasks.</w:t>
      </w:r>
    </w:p>
    <w:p w14:paraId="353D610F" w14:textId="77777777" w:rsidR="002C73F4" w:rsidRDefault="006C0F53">
      <w:pPr>
        <w:pStyle w:val="Heading1"/>
        <w:spacing w:before="158"/>
      </w:pPr>
      <w:r>
        <w:t>Scope</w:t>
      </w:r>
    </w:p>
    <w:p w14:paraId="0EC14AC1" w14:textId="0C0A6158" w:rsidR="002C73F4" w:rsidRDefault="006C0F53">
      <w:pPr>
        <w:pStyle w:val="BodyText"/>
        <w:spacing w:before="181" w:line="259" w:lineRule="auto"/>
        <w:ind w:left="100" w:right="125"/>
      </w:pPr>
      <w:r>
        <w:t>This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 w:rsidR="00232A51">
        <w:t xml:space="preserve">Yellow </w:t>
      </w:r>
      <w:r>
        <w:t>information,</w:t>
      </w:r>
      <w:r>
        <w:rPr>
          <w:spacing w:val="-1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device</w:t>
      </w:r>
      <w:r>
        <w:rPr>
          <w:spacing w:val="-52"/>
        </w:rPr>
        <w:t xml:space="preserve"> </w:t>
      </w:r>
      <w:r>
        <w:t>it resides on. It should consequently be used by all employees and third parties who interact with</w:t>
      </w:r>
      <w:r>
        <w:rPr>
          <w:spacing w:val="1"/>
        </w:rPr>
        <w:t xml:space="preserve"> </w:t>
      </w:r>
      <w:r>
        <w:t xml:space="preserve">information held by and on behalf of the </w:t>
      </w:r>
      <w:r w:rsidR="00232A51">
        <w:t xml:space="preserve">Yellow </w:t>
      </w:r>
      <w:r>
        <w:t>or its clients. Any legal or contractual stipulations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standard.</w:t>
      </w:r>
    </w:p>
    <w:p w14:paraId="285D7A79" w14:textId="77777777" w:rsidR="002C73F4" w:rsidRDefault="006C0F53">
      <w:pPr>
        <w:pStyle w:val="Heading1"/>
        <w:spacing w:before="156"/>
      </w:pPr>
      <w:r>
        <w:t>Assumptions</w:t>
      </w:r>
    </w:p>
    <w:p w14:paraId="25303BD1" w14:textId="77777777" w:rsidR="002C73F4" w:rsidRDefault="006C0F53">
      <w:pPr>
        <w:pStyle w:val="BodyText"/>
        <w:spacing w:before="180" w:line="259" w:lineRule="auto"/>
        <w:ind w:left="100" w:right="741"/>
      </w:pPr>
      <w:r>
        <w:t>The legal definitions laid out in the Data Protection Act continue to be relevant and require the</w:t>
      </w:r>
      <w:r>
        <w:rPr>
          <w:spacing w:val="1"/>
        </w:rPr>
        <w:t xml:space="preserve"> </w:t>
      </w:r>
      <w:r>
        <w:t>currently understood levels of protection. The mechanisms offered as recommendations in this</w:t>
      </w:r>
      <w:r>
        <w:rPr>
          <w:spacing w:val="-53"/>
        </w:rPr>
        <w:t xml:space="preserve"> </w:t>
      </w:r>
      <w:r>
        <w:t>proposal continue to exist and are available to those that need them. The reader has sufficient</w:t>
      </w:r>
      <w:r>
        <w:rPr>
          <w:spacing w:val="-5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controls as laid</w:t>
      </w:r>
      <w:r>
        <w:rPr>
          <w:spacing w:val="-1"/>
        </w:rPr>
        <w:t xml:space="preserve"> </w:t>
      </w:r>
      <w:r>
        <w:t>out.</w:t>
      </w:r>
    </w:p>
    <w:p w14:paraId="46737BD2" w14:textId="77777777" w:rsidR="002C73F4" w:rsidRDefault="006C0F53">
      <w:pPr>
        <w:pStyle w:val="Heading1"/>
        <w:spacing w:before="157"/>
      </w:pPr>
      <w:r>
        <w:t>Responsibilities</w:t>
      </w:r>
    </w:p>
    <w:p w14:paraId="5761F849" w14:textId="3227D5C1" w:rsidR="002C73F4" w:rsidRDefault="006C0F53">
      <w:pPr>
        <w:pStyle w:val="BodyText"/>
        <w:spacing w:before="183" w:line="259" w:lineRule="auto"/>
        <w:ind w:left="100" w:right="125"/>
      </w:pPr>
      <w:r>
        <w:t xml:space="preserve">All </w:t>
      </w:r>
      <w:r w:rsidR="00232A51">
        <w:t xml:space="preserve">Yellow </w:t>
      </w:r>
      <w:r>
        <w:t xml:space="preserve">employees, third parties and collaborators on </w:t>
      </w:r>
      <w:r w:rsidR="00232A51">
        <w:t xml:space="preserve">Yellow </w:t>
      </w:r>
      <w:r>
        <w:t>and / or its client’s projects are</w:t>
      </w:r>
      <w:r>
        <w:rPr>
          <w:spacing w:val="1"/>
        </w:rPr>
        <w:t xml:space="preserve"> </w:t>
      </w:r>
      <w:r>
        <w:t>users of information. They are responsible for assessing and classifying the information they work</w:t>
      </w:r>
      <w:r>
        <w:rPr>
          <w:spacing w:val="1"/>
        </w:rPr>
        <w:t xml:space="preserve"> </w:t>
      </w:r>
      <w:r>
        <w:t xml:space="preserve">with, and applying the appropriate controls. </w:t>
      </w:r>
      <w:r w:rsidR="00232A51">
        <w:t xml:space="preserve">Yellow </w:t>
      </w:r>
      <w:r>
        <w:t>employees must respect the security</w:t>
      </w:r>
      <w:r>
        <w:rPr>
          <w:spacing w:val="1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53"/>
        </w:rPr>
        <w:t xml:space="preserve"> </w:t>
      </w:r>
      <w:r w:rsidR="00232A51"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232A51">
        <w:t xml:space="preserve">a director or Head of Marketing </w:t>
      </w:r>
      <w:r>
        <w:t>as</w:t>
      </w:r>
      <w:r>
        <w:rPr>
          <w:spacing w:val="1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possible.</w:t>
      </w:r>
    </w:p>
    <w:p w14:paraId="647EEFEB" w14:textId="77777777" w:rsidR="002C73F4" w:rsidRDefault="006C0F53">
      <w:pPr>
        <w:pStyle w:val="Heading1"/>
        <w:spacing w:before="155"/>
      </w:pPr>
      <w:r>
        <w:t>Information</w:t>
      </w:r>
      <w:r>
        <w:rPr>
          <w:spacing w:val="-4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Definitions</w:t>
      </w:r>
    </w:p>
    <w:p w14:paraId="74C6FDAF" w14:textId="77777777" w:rsidR="002C73F4" w:rsidRDefault="006C0F53">
      <w:pPr>
        <w:pStyle w:val="BodyText"/>
        <w:spacing w:before="181"/>
        <w:ind w:left="10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summary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classification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</w:p>
    <w:p w14:paraId="10FF1152" w14:textId="61D5684B" w:rsidR="002C73F4" w:rsidRDefault="006C0F53">
      <w:pPr>
        <w:pStyle w:val="BodyText"/>
        <w:spacing w:before="19" w:line="256" w:lineRule="auto"/>
        <w:ind w:left="100"/>
      </w:pPr>
      <w:r>
        <w:t>adopted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 w:rsidR="00232A51">
        <w:t>Yellow</w:t>
      </w:r>
      <w:r>
        <w:t>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explicitly</w:t>
      </w:r>
      <w:r>
        <w:rPr>
          <w:spacing w:val="-5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Act’s</w:t>
      </w:r>
      <w:r>
        <w:rPr>
          <w:spacing w:val="-4"/>
        </w:rPr>
        <w:t xml:space="preserve"> </w:t>
      </w:r>
      <w:r>
        <w:t>(DPA)</w:t>
      </w:r>
      <w:r>
        <w:rPr>
          <w:spacing w:val="1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 Sensitive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Data,</w:t>
      </w:r>
    </w:p>
    <w:p w14:paraId="24483C40" w14:textId="77777777" w:rsidR="002C73F4" w:rsidRDefault="006C0F53">
      <w:pPr>
        <w:pStyle w:val="Heading1"/>
        <w:numPr>
          <w:ilvl w:val="0"/>
          <w:numId w:val="1"/>
        </w:numPr>
        <w:tabs>
          <w:tab w:val="left" w:pos="821"/>
        </w:tabs>
        <w:spacing w:before="161"/>
        <w:ind w:hanging="361"/>
        <w:jc w:val="left"/>
      </w:pPr>
      <w:r>
        <w:t>Confidential</w:t>
      </w:r>
    </w:p>
    <w:p w14:paraId="023C2557" w14:textId="77777777" w:rsidR="002C73F4" w:rsidRDefault="002C73F4">
      <w:pPr>
        <w:pStyle w:val="BodyText"/>
        <w:spacing w:before="6"/>
        <w:rPr>
          <w:rFonts w:ascii="Arial"/>
          <w:b/>
          <w:sz w:val="22"/>
        </w:rPr>
      </w:pPr>
    </w:p>
    <w:p w14:paraId="58713606" w14:textId="14E11B8C" w:rsidR="002C73F4" w:rsidRDefault="006C0F53" w:rsidP="00232A51">
      <w:pPr>
        <w:pStyle w:val="BodyText"/>
        <w:spacing w:line="259" w:lineRule="auto"/>
        <w:ind w:left="460" w:right="125"/>
      </w:pPr>
      <w:r>
        <w:t xml:space="preserve">‘Confidential’ information has significant value for </w:t>
      </w:r>
      <w:r w:rsidR="00232A51">
        <w:t>Yellow</w:t>
      </w:r>
      <w:r>
        <w:t>, and unauthorized disclosure or</w:t>
      </w:r>
      <w:r>
        <w:rPr>
          <w:spacing w:val="1"/>
        </w:rPr>
        <w:t xml:space="preserve"> </w:t>
      </w:r>
      <w:r>
        <w:t xml:space="preserve">dissemination could result in severe financial or reputational damage to </w:t>
      </w:r>
      <w:r w:rsidR="00232A51">
        <w:t xml:space="preserve">Yellow </w:t>
      </w:r>
      <w:r>
        <w:t>and its clients,</w:t>
      </w:r>
      <w:r>
        <w:rPr>
          <w:spacing w:val="1"/>
        </w:rPr>
        <w:t xml:space="preserve"> </w:t>
      </w:r>
      <w:r>
        <w:t>(including fines of up to £500,000 from the Information Commissioner’s Office). Data that is</w:t>
      </w:r>
      <w:r>
        <w:rPr>
          <w:spacing w:val="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 Act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Sensitive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falls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category.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53"/>
        </w:rPr>
        <w:t xml:space="preserve"> </w:t>
      </w:r>
      <w:r>
        <w:t>who explicitly need access must be granted it, and only to the least degree in order to do their</w:t>
      </w:r>
      <w:r>
        <w:rPr>
          <w:spacing w:val="1"/>
        </w:rPr>
        <w:t xml:space="preserve"> </w:t>
      </w:r>
      <w:r>
        <w:t xml:space="preserve">work (the ‘need to know’ and ‘least privilege’ principles). When held outside </w:t>
      </w:r>
      <w:r w:rsidR="00232A51">
        <w:t>Yellow</w:t>
      </w:r>
      <w:r>
        <w:t>, on mobile</w:t>
      </w:r>
      <w:r>
        <w:rPr>
          <w:spacing w:val="1"/>
        </w:rPr>
        <w:t xml:space="preserve"> </w:t>
      </w:r>
      <w:r>
        <w:t>devices such as laptops, tablets or phones, or in transit, ‘Confidential’ information must be</w:t>
      </w:r>
      <w:r>
        <w:rPr>
          <w:spacing w:val="1"/>
        </w:rPr>
        <w:t xml:space="preserve"> </w:t>
      </w:r>
      <w:r>
        <w:t>protected behind an explicit password and by AES 256-bit encryption at the device, drive or file</w:t>
      </w:r>
      <w:r>
        <w:rPr>
          <w:spacing w:val="1"/>
        </w:rPr>
        <w:t xml:space="preserve"> </w:t>
      </w:r>
      <w:r>
        <w:t>level.</w:t>
      </w:r>
    </w:p>
    <w:p w14:paraId="0A325F99" w14:textId="77777777" w:rsidR="002C73F4" w:rsidRDefault="002C73F4">
      <w:pPr>
        <w:spacing w:line="259" w:lineRule="auto"/>
        <w:sectPr w:rsidR="002C73F4">
          <w:headerReference w:type="default" r:id="rId7"/>
          <w:type w:val="continuous"/>
          <w:pgSz w:w="11910" w:h="16840"/>
          <w:pgMar w:top="1680" w:right="1360" w:bottom="280" w:left="1340" w:header="375" w:footer="720" w:gutter="0"/>
          <w:pgNumType w:start="1"/>
          <w:cols w:space="720"/>
        </w:sectPr>
      </w:pPr>
    </w:p>
    <w:p w14:paraId="498A2BC6" w14:textId="77777777" w:rsidR="002C73F4" w:rsidRDefault="002C73F4">
      <w:pPr>
        <w:pStyle w:val="BodyText"/>
      </w:pPr>
    </w:p>
    <w:p w14:paraId="54BE37CD" w14:textId="77777777" w:rsidR="002C73F4" w:rsidRDefault="002C73F4">
      <w:pPr>
        <w:pStyle w:val="BodyText"/>
        <w:spacing w:before="1"/>
        <w:rPr>
          <w:sz w:val="22"/>
        </w:rPr>
      </w:pPr>
    </w:p>
    <w:p w14:paraId="206F8A64" w14:textId="77777777" w:rsidR="002C73F4" w:rsidRDefault="006C0F53">
      <w:pPr>
        <w:pStyle w:val="Heading1"/>
        <w:numPr>
          <w:ilvl w:val="0"/>
          <w:numId w:val="1"/>
        </w:numPr>
        <w:tabs>
          <w:tab w:val="left" w:pos="821"/>
        </w:tabs>
        <w:ind w:hanging="361"/>
        <w:jc w:val="left"/>
      </w:pPr>
      <w:r>
        <w:t>Restricted</w:t>
      </w:r>
    </w:p>
    <w:p w14:paraId="721CECC6" w14:textId="77777777" w:rsidR="002C73F4" w:rsidRDefault="002C73F4">
      <w:pPr>
        <w:pStyle w:val="BodyText"/>
        <w:spacing w:before="4"/>
        <w:rPr>
          <w:rFonts w:ascii="Arial"/>
          <w:b/>
          <w:sz w:val="23"/>
        </w:rPr>
      </w:pPr>
    </w:p>
    <w:p w14:paraId="5AB46EF3" w14:textId="34A2B234" w:rsidR="002C73F4" w:rsidRDefault="006C0F53">
      <w:pPr>
        <w:pStyle w:val="BodyText"/>
        <w:spacing w:before="1" w:line="259" w:lineRule="auto"/>
        <w:ind w:left="383" w:right="37"/>
      </w:pPr>
      <w:r>
        <w:t>‘Restricted’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access,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logons</w:t>
      </w:r>
      <w:r>
        <w:rPr>
          <w:spacing w:val="-3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small group of staff. ‘Restricted’ information must be held in such a manner that prevents</w:t>
      </w:r>
      <w:r>
        <w:rPr>
          <w:spacing w:val="1"/>
        </w:rPr>
        <w:t xml:space="preserve"> </w:t>
      </w:r>
      <w:r>
        <w:t>unauthorised access i.e. on a system that requires a valid and appropriate user to log in before</w:t>
      </w:r>
      <w:r>
        <w:rPr>
          <w:spacing w:val="1"/>
        </w:rPr>
        <w:t xml:space="preserve"> </w:t>
      </w:r>
      <w:r>
        <w:t>access is granted. Information defined as Personal Data by the Data Protection Act falls into this</w:t>
      </w:r>
      <w:r>
        <w:rPr>
          <w:spacing w:val="1"/>
        </w:rPr>
        <w:t xml:space="preserve"> </w:t>
      </w:r>
      <w:r>
        <w:t>category. Disclosure or dissemination of this information is not intended, and may incur some</w:t>
      </w:r>
      <w:r>
        <w:rPr>
          <w:spacing w:val="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publicity, but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unlikely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reputational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 w:rsidR="00232A51">
        <w:t>Yellow</w:t>
      </w:r>
      <w:r>
        <w:t>.</w:t>
      </w:r>
    </w:p>
    <w:p w14:paraId="57114667" w14:textId="77777777" w:rsidR="002C73F4" w:rsidRDefault="006C0F53">
      <w:pPr>
        <w:pStyle w:val="BodyText"/>
        <w:spacing w:line="256" w:lineRule="auto"/>
        <w:ind w:left="383"/>
      </w:pP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datasets</w:t>
      </w:r>
      <w:r>
        <w:rPr>
          <w:spacing w:val="-3"/>
        </w:rPr>
        <w:t xml:space="preserve"> </w:t>
      </w:r>
      <w:r>
        <w:t>(&gt;1000</w:t>
      </w:r>
      <w:r>
        <w:rPr>
          <w:spacing w:val="-4"/>
        </w:rPr>
        <w:t xml:space="preserve"> </w:t>
      </w:r>
      <w:r>
        <w:t>records)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‘Restricted’</w:t>
      </w:r>
      <w:r>
        <w:rPr>
          <w:spacing w:val="-4"/>
        </w:rPr>
        <w:t xml:space="preserve"> </w:t>
      </w:r>
      <w:r>
        <w:t>information</w:t>
      </w:r>
      <w:r>
        <w:rPr>
          <w:spacing w:val="-5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Confidential, thereby</w:t>
      </w:r>
      <w:r>
        <w:rPr>
          <w:spacing w:val="-4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a higher</w:t>
      </w:r>
      <w:r>
        <w:rPr>
          <w:spacing w:val="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control.</w:t>
      </w:r>
    </w:p>
    <w:p w14:paraId="4CC6CD5C" w14:textId="77777777" w:rsidR="002C73F4" w:rsidRDefault="002C73F4">
      <w:pPr>
        <w:pStyle w:val="BodyText"/>
        <w:spacing w:before="10"/>
      </w:pPr>
    </w:p>
    <w:p w14:paraId="01C12A80" w14:textId="77777777" w:rsidR="002C73F4" w:rsidRDefault="006C0F53">
      <w:pPr>
        <w:pStyle w:val="Heading1"/>
        <w:numPr>
          <w:ilvl w:val="0"/>
          <w:numId w:val="1"/>
        </w:numPr>
        <w:tabs>
          <w:tab w:val="left" w:pos="605"/>
        </w:tabs>
        <w:ind w:left="604" w:hanging="222"/>
        <w:jc w:val="left"/>
      </w:pPr>
      <w:r>
        <w:t>Internal</w:t>
      </w:r>
      <w:r>
        <w:rPr>
          <w:spacing w:val="-2"/>
        </w:rPr>
        <w:t xml:space="preserve"> </w:t>
      </w:r>
      <w:r>
        <w:t>Use</w:t>
      </w:r>
    </w:p>
    <w:p w14:paraId="6A882F70" w14:textId="77777777" w:rsidR="002C73F4" w:rsidRDefault="002C73F4">
      <w:pPr>
        <w:pStyle w:val="BodyText"/>
        <w:spacing w:before="7"/>
        <w:rPr>
          <w:rFonts w:ascii="Arial"/>
          <w:b/>
          <w:sz w:val="22"/>
        </w:rPr>
      </w:pPr>
    </w:p>
    <w:p w14:paraId="0590CBB6" w14:textId="0C91DF85" w:rsidR="002C73F4" w:rsidRDefault="006C0F53" w:rsidP="00232A51">
      <w:pPr>
        <w:pStyle w:val="BodyText"/>
        <w:spacing w:line="261" w:lineRule="auto"/>
        <w:ind w:left="383" w:right="258"/>
      </w:pPr>
      <w:r>
        <w:t>‘Internal use’ information can be disclosed or disseminated by its owner to appropriate members</w:t>
      </w:r>
      <w:r>
        <w:rPr>
          <w:spacing w:val="-53"/>
        </w:rPr>
        <w:t xml:space="preserve"> </w:t>
      </w:r>
      <w:r>
        <w:t xml:space="preserve">of </w:t>
      </w:r>
      <w:r w:rsidR="00975FB7">
        <w:t>Yellow</w:t>
      </w:r>
      <w:r>
        <w:t>, partners and other individuals, as appropriate by information owners without any</w:t>
      </w:r>
      <w:r>
        <w:rPr>
          <w:spacing w:val="1"/>
        </w:rPr>
        <w:t xml:space="preserve"> </w:t>
      </w:r>
      <w:r>
        <w:t>restrictions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publication.</w:t>
      </w:r>
    </w:p>
    <w:p w14:paraId="1EE3BE71" w14:textId="77777777" w:rsidR="002C73F4" w:rsidRDefault="002C73F4">
      <w:pPr>
        <w:pStyle w:val="BodyText"/>
        <w:spacing w:before="2"/>
      </w:pPr>
    </w:p>
    <w:p w14:paraId="220DA6CE" w14:textId="77777777" w:rsidR="002C73F4" w:rsidRDefault="006C0F53">
      <w:pPr>
        <w:pStyle w:val="Heading1"/>
        <w:numPr>
          <w:ilvl w:val="0"/>
          <w:numId w:val="1"/>
        </w:numPr>
        <w:tabs>
          <w:tab w:val="left" w:pos="605"/>
        </w:tabs>
        <w:ind w:left="604" w:hanging="222"/>
        <w:jc w:val="left"/>
      </w:pPr>
      <w:r>
        <w:t>Public</w:t>
      </w:r>
    </w:p>
    <w:p w14:paraId="00C4F7B2" w14:textId="77777777" w:rsidR="002C73F4" w:rsidRDefault="002C73F4">
      <w:pPr>
        <w:pStyle w:val="BodyText"/>
        <w:spacing w:before="6"/>
        <w:rPr>
          <w:rFonts w:ascii="Arial"/>
          <w:b/>
          <w:sz w:val="22"/>
        </w:rPr>
      </w:pPr>
    </w:p>
    <w:p w14:paraId="1F5F0663" w14:textId="77777777" w:rsidR="002C73F4" w:rsidRDefault="006C0F53">
      <w:pPr>
        <w:pStyle w:val="BodyText"/>
        <w:spacing w:before="1" w:line="259" w:lineRule="auto"/>
        <w:ind w:left="383" w:right="103" w:firstLine="55"/>
      </w:pPr>
      <w:r>
        <w:t>‘Public’</w:t>
      </w:r>
      <w:r>
        <w:rPr>
          <w:spacing w:val="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disclosed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disseminated</w:t>
      </w:r>
      <w:r>
        <w:rPr>
          <w:spacing w:val="4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restrictions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audience or time of publication. Disclosure or dissemination of the information must not violate any</w:t>
      </w:r>
      <w:r>
        <w:rPr>
          <w:spacing w:val="-53"/>
        </w:rPr>
        <w:t xml:space="preserve"> </w:t>
      </w:r>
      <w:r>
        <w:t>applicable laws or regulations, such as privacy rules. Modification must be restricted to individuals</w:t>
      </w:r>
      <w:r>
        <w:rPr>
          <w:spacing w:val="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explicitly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</w:t>
      </w:r>
      <w:r>
        <w:rPr>
          <w:spacing w:val="-8"/>
        </w:rPr>
        <w:t xml:space="preserve"> </w:t>
      </w:r>
      <w:r>
        <w:t>that information,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who have</w:t>
      </w:r>
      <w:r>
        <w:rPr>
          <w:spacing w:val="-53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authenticated</w:t>
      </w:r>
      <w:r>
        <w:rPr>
          <w:spacing w:val="-1"/>
        </w:rPr>
        <w:t xml:space="preserve"> </w:t>
      </w:r>
      <w:r>
        <w:t>themselves 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system.</w:t>
      </w:r>
    </w:p>
    <w:p w14:paraId="1B84C994" w14:textId="77777777" w:rsidR="002C73F4" w:rsidRDefault="002C73F4">
      <w:pPr>
        <w:pStyle w:val="BodyText"/>
        <w:rPr>
          <w:sz w:val="22"/>
        </w:rPr>
      </w:pPr>
    </w:p>
    <w:p w14:paraId="5035E7ED" w14:textId="77777777" w:rsidR="002C73F4" w:rsidRDefault="002C73F4">
      <w:pPr>
        <w:pStyle w:val="BodyText"/>
        <w:spacing w:before="1"/>
        <w:rPr>
          <w:sz w:val="21"/>
        </w:rPr>
      </w:pPr>
    </w:p>
    <w:p w14:paraId="3F0F5749" w14:textId="77777777" w:rsidR="002C73F4" w:rsidRDefault="006C0F53">
      <w:pPr>
        <w:pStyle w:val="BodyText"/>
        <w:ind w:left="383"/>
      </w:pP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varying</w:t>
      </w:r>
      <w:r>
        <w:rPr>
          <w:spacing w:val="-2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 classification</w:t>
      </w:r>
    </w:p>
    <w:sectPr w:rsidR="002C73F4">
      <w:pgSz w:w="11910" w:h="16840"/>
      <w:pgMar w:top="1680" w:right="1360" w:bottom="280" w:left="134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12F6" w14:textId="77777777" w:rsidR="005F3610" w:rsidRDefault="005F3610">
      <w:r>
        <w:separator/>
      </w:r>
    </w:p>
  </w:endnote>
  <w:endnote w:type="continuationSeparator" w:id="0">
    <w:p w14:paraId="7DA62506" w14:textId="77777777" w:rsidR="005F3610" w:rsidRDefault="005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67A8" w14:textId="77777777" w:rsidR="005F3610" w:rsidRDefault="005F3610">
      <w:r>
        <w:separator/>
      </w:r>
    </w:p>
  </w:footnote>
  <w:footnote w:type="continuationSeparator" w:id="0">
    <w:p w14:paraId="164F2EAC" w14:textId="77777777" w:rsidR="005F3610" w:rsidRDefault="005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59CD" w14:textId="1BBBFE0D" w:rsidR="002C73F4" w:rsidRDefault="008346D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A5B577" wp14:editId="63966560">
              <wp:simplePos x="0" y="0"/>
              <wp:positionH relativeFrom="page">
                <wp:posOffset>5072380</wp:posOffset>
              </wp:positionH>
              <wp:positionV relativeFrom="page">
                <wp:posOffset>436245</wp:posOffset>
              </wp:positionV>
              <wp:extent cx="1586865" cy="2400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CB5A7" w14:textId="2851FE51" w:rsidR="002C73F4" w:rsidRDefault="00232A51">
                          <w:pPr>
                            <w:spacing w:line="171" w:lineRule="exact"/>
                            <w:ind w:left="604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Reviews 17</w:t>
                          </w:r>
                          <w:r w:rsidRPr="00232A51">
                            <w:rPr>
                              <w:rFonts w:ascii="Calibri"/>
                              <w:sz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 xml:space="preserve"> January 2020</w:t>
                          </w:r>
                        </w:p>
                        <w:p w14:paraId="6C964403" w14:textId="0105F329" w:rsidR="00232A51" w:rsidRDefault="00232A51">
                          <w:pPr>
                            <w:spacing w:line="171" w:lineRule="exact"/>
                            <w:ind w:left="604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By David Roberts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5B5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4pt;margin-top:34.35pt;width:124.95pt;height:1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" filled="f" stroked="f">
              <v:textbox inset="0,0,0,0">
                <w:txbxContent>
                  <w:p w14:paraId="153CB5A7" w14:textId="2851FE51" w:rsidR="002C73F4" w:rsidRDefault="00232A51">
                    <w:pPr>
                      <w:spacing w:line="171" w:lineRule="exact"/>
                      <w:ind w:left="604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Reviews 17</w:t>
                    </w:r>
                    <w:r w:rsidRPr="00232A51">
                      <w:rPr>
                        <w:rFonts w:ascii="Calibri"/>
                        <w:sz w:val="14"/>
                        <w:vertAlign w:val="superscript"/>
                      </w:rPr>
                      <w:t>th</w:t>
                    </w:r>
                    <w:r>
                      <w:rPr>
                        <w:rFonts w:ascii="Calibri"/>
                        <w:sz w:val="14"/>
                      </w:rPr>
                      <w:t xml:space="preserve"> January 2020</w:t>
                    </w:r>
                  </w:p>
                  <w:p w14:paraId="6C964403" w14:textId="0105F329" w:rsidR="00232A51" w:rsidRDefault="00232A51">
                    <w:pPr>
                      <w:spacing w:line="171" w:lineRule="exact"/>
                      <w:ind w:left="604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By David Roberts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F17"/>
    <w:multiLevelType w:val="hybridMultilevel"/>
    <w:tmpl w:val="482ADFA4"/>
    <w:lvl w:ilvl="0" w:tplc="41884920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1E4E6B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4A62E544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C00ACB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B77C971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E64F15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82741FD6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C846D9C2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62665ED6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7AwNbE0NrAwMbRQ0lEKTi0uzszPAykwrAUAFmoNsCwAAAA="/>
  </w:docVars>
  <w:rsids>
    <w:rsidRoot w:val="002C73F4"/>
    <w:rsid w:val="00232A51"/>
    <w:rsid w:val="002C73F4"/>
    <w:rsid w:val="005F3610"/>
    <w:rsid w:val="006878A4"/>
    <w:rsid w:val="006C0F53"/>
    <w:rsid w:val="008346D5"/>
    <w:rsid w:val="009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FAF03"/>
  <w15:docId w15:val="{0570D654-FF66-41E8-BC25-3DC42517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0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2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A5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32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A5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Kehoe</dc:creator>
  <cp:lastModifiedBy>Jenny Dawson</cp:lastModifiedBy>
  <cp:revision>2</cp:revision>
  <dcterms:created xsi:type="dcterms:W3CDTF">2022-01-19T13:02:00Z</dcterms:created>
  <dcterms:modified xsi:type="dcterms:W3CDTF">2022-01-19T13:02:00Z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